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0" w:afterAutospacing="1"/>
        <w:jc w:val="center"/>
        <w:rPr>
          <w:rFonts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t>蓝光发展2018届“光芒生”校园招聘</w:t>
      </w:r>
    </w:p>
    <w:p>
      <w:pPr>
        <w:spacing w:after="280" w:afterAutospacing="1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一、蓝光集团简介</w:t>
      </w:r>
    </w:p>
    <w:p>
      <w:pPr>
        <w:pBdr>
          <w:top w:val="single" w:color="FDFCFC" w:sz="0" w:space="0"/>
          <w:left w:val="single" w:color="FDFCFC" w:sz="0" w:space="0"/>
          <w:bottom w:val="single" w:color="FDFCFC" w:sz="0" w:space="0"/>
          <w:right w:val="single" w:color="FDFCFC" w:sz="0" w:space="0"/>
        </w:pBdr>
        <w:spacing w:line="360" w:lineRule="auto"/>
        <w:ind w:firstLine="40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蓝光投资控股集团有限公司（以下简称蓝光控股集团）成立于1990年。2015年4月16日，蓝光控股集团旗下四川蓝光发展股份有限公司（以下简称蓝光发展，证券代码：600466，SH）在上海证券交易所完成重组上市。蓝光发展，专注于人类生活的核心需求，提供从生活到生命的创新解决方案，为大众创造幸福生活。</w:t>
      </w:r>
      <w:r>
        <w:rPr>
          <w:rFonts w:ascii="宋体" w:hAnsi="宋体"/>
          <w:color w:val="000000" w:themeColor="text1"/>
          <w:sz w:val="24"/>
          <w:szCs w:val="24"/>
        </w:rPr>
        <w:br w:type="textWrapping"/>
      </w:r>
      <w:r>
        <w:rPr>
          <w:rFonts w:ascii="宋体" w:hAnsi="宋体"/>
          <w:color w:val="000000" w:themeColor="text1"/>
          <w:sz w:val="24"/>
          <w:szCs w:val="24"/>
        </w:rPr>
        <w:t xml:space="preserve">    蓝光发展确立了以“人居蓝光+生命蓝光”为双擎驱动的战略顶层设计，其中，人居蓝光以“地产金融+现代服务业”为核心基础产业；生命蓝光以“3D生物打印+生物医药”为创新支柱产业。</w:t>
      </w:r>
    </w:p>
    <w:p>
      <w:pPr>
        <w:pBdr>
          <w:top w:val="single" w:color="FDFCFC" w:sz="0" w:space="0"/>
          <w:left w:val="single" w:color="FDFCFC" w:sz="0" w:space="0"/>
          <w:bottom w:val="single" w:color="FDFCFC" w:sz="0" w:space="0"/>
          <w:right w:val="single" w:color="FDFCFC" w:sz="0" w:space="0"/>
        </w:pBd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989898"/>
          <w:sz w:val="24"/>
          <w:szCs w:val="24"/>
        </w:rPr>
        <w:t xml:space="preserve">    </w:t>
      </w:r>
      <w:r>
        <w:rPr>
          <w:rFonts w:ascii="宋体" w:hAnsi="宋体"/>
          <w:color w:val="000000" w:themeColor="text1"/>
          <w:sz w:val="24"/>
          <w:szCs w:val="24"/>
        </w:rPr>
        <w:t>2017年，蓝光发展蝉联中国房地产百强综合实力第23位，并首次跻身百强房企稳健性TOP10，高居第4位。同时，蓝光发展还荣获2016年度中国房地产公司品牌价值(混合所有)TOP9，高达107亿元，并连续两年荣膺中国十大最具投资价值上市房企，2016年高居TOP5。</w:t>
      </w:r>
    </w:p>
    <w:p>
      <w:pPr>
        <w:pBdr>
          <w:top w:val="single" w:color="FDFCFC" w:sz="0" w:space="0"/>
          <w:left w:val="single" w:color="FDFCFC" w:sz="0" w:space="0"/>
          <w:bottom w:val="single" w:color="FDFCFC" w:sz="0" w:space="0"/>
          <w:right w:val="single" w:color="FDFCFC" w:sz="0" w:space="0"/>
        </w:pBdr>
        <w:spacing w:after="280" w:line="360" w:lineRule="auto"/>
        <w:rPr>
          <w:rFonts w:ascii="宋体" w:hAnsi="宋体"/>
          <w:b/>
          <w:sz w:val="24"/>
          <w:szCs w:val="24"/>
        </w:rPr>
      </w:pPr>
    </w:p>
    <w:p>
      <w:pPr>
        <w:pBdr>
          <w:top w:val="single" w:color="FDFCFC" w:sz="0" w:space="0"/>
          <w:left w:val="single" w:color="FDFCFC" w:sz="0" w:space="0"/>
          <w:bottom w:val="single" w:color="FDFCFC" w:sz="0" w:space="0"/>
          <w:right w:val="single" w:color="FDFCFC" w:sz="0" w:space="0"/>
        </w:pBdr>
        <w:spacing w:after="28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二、光芒生计划</w:t>
      </w:r>
    </w:p>
    <w:p>
      <w:pPr>
        <w:pBdr>
          <w:top w:val="single" w:color="FDFCFC" w:sz="0" w:space="0"/>
          <w:left w:val="single" w:color="FDFCFC" w:sz="0" w:space="0"/>
          <w:bottom w:val="single" w:color="FDFCFC" w:sz="0" w:space="0"/>
          <w:right w:val="single" w:color="FDFCFC" w:sz="0" w:space="0"/>
        </w:pBdr>
        <w:spacing w:after="28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“光芒生”是蓝光发展（600466.SH）面向全国211、985院校本科及硕士应届毕业生进行招聘的管培生项目，其定位为业务及管理精英校园招聘，旨在打造公司中层管理者或高精尖技术专家。</w:t>
      </w:r>
    </w:p>
    <w:p>
      <w:pPr>
        <w:spacing w:after="280" w:afterAutospacing="1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岗位及专业需求：</w:t>
      </w:r>
    </w:p>
    <w:p>
      <w:pPr>
        <w:pStyle w:val="36"/>
        <w:spacing w:line="360" w:lineRule="auto"/>
        <w:ind w:firstLine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1）研发设计岗</w:t>
      </w:r>
      <w:r>
        <w:rPr>
          <w:rFonts w:ascii="宋体" w:hAnsi="宋体"/>
          <w:b/>
          <w:sz w:val="24"/>
          <w:szCs w:val="24"/>
        </w:rPr>
        <w:t>：</w:t>
      </w:r>
      <w:r>
        <w:rPr>
          <w:rFonts w:ascii="宋体" w:hAnsi="宋体"/>
          <w:color w:val="000000"/>
          <w:sz w:val="24"/>
          <w:szCs w:val="24"/>
        </w:rPr>
        <w:t>建筑学、建筑设计、城市规划、园林设计、景观设计、艺术设计等专业</w:t>
      </w:r>
    </w:p>
    <w:p>
      <w:pPr>
        <w:pStyle w:val="36"/>
        <w:spacing w:line="360" w:lineRule="auto"/>
        <w:ind w:firstLine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2）</w:t>
      </w:r>
      <w:r>
        <w:rPr>
          <w:rFonts w:ascii="宋体" w:hAnsi="宋体"/>
          <w:b/>
          <w:color w:val="000000"/>
          <w:sz w:val="24"/>
          <w:szCs w:val="24"/>
        </w:rPr>
        <w:t>工程管理岗</w:t>
      </w:r>
      <w:r>
        <w:rPr>
          <w:rFonts w:ascii="宋体" w:hAnsi="宋体"/>
          <w:color w:val="000000"/>
          <w:sz w:val="24"/>
          <w:szCs w:val="24"/>
        </w:rPr>
        <w:t>：工程管理、土木工程、结构工程、建筑工程、给排水工程等</w:t>
      </w:r>
    </w:p>
    <w:p>
      <w:pPr>
        <w:pStyle w:val="36"/>
        <w:spacing w:line="360" w:lineRule="auto"/>
        <w:ind w:firstLine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3）</w:t>
      </w:r>
      <w:r>
        <w:rPr>
          <w:rFonts w:ascii="宋体" w:hAnsi="宋体"/>
          <w:b/>
          <w:color w:val="000000"/>
          <w:sz w:val="24"/>
          <w:szCs w:val="24"/>
        </w:rPr>
        <w:t>成本造价岗</w:t>
      </w:r>
      <w:r>
        <w:rPr>
          <w:rFonts w:ascii="宋体" w:hAnsi="宋体"/>
          <w:color w:val="000000"/>
          <w:sz w:val="24"/>
          <w:szCs w:val="24"/>
        </w:rPr>
        <w:t>：工程造价、工程管理等</w:t>
      </w:r>
    </w:p>
    <w:p>
      <w:pPr>
        <w:pStyle w:val="36"/>
        <w:spacing w:line="360" w:lineRule="auto"/>
        <w:ind w:firstLine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4）</w:t>
      </w:r>
      <w:r>
        <w:rPr>
          <w:rFonts w:ascii="宋体" w:hAnsi="宋体"/>
          <w:b/>
          <w:color w:val="000000"/>
          <w:sz w:val="24"/>
          <w:szCs w:val="24"/>
        </w:rPr>
        <w:t>投资管理岗</w:t>
      </w:r>
      <w:r>
        <w:rPr>
          <w:rFonts w:ascii="宋体" w:hAnsi="宋体"/>
          <w:color w:val="000000"/>
          <w:sz w:val="24"/>
          <w:szCs w:val="24"/>
        </w:rPr>
        <w:t>：房地产管理、土地资源管理、城市规划、经济学、法学等</w:t>
      </w:r>
    </w:p>
    <w:p>
      <w:pPr>
        <w:pStyle w:val="36"/>
        <w:spacing w:line="360" w:lineRule="auto"/>
        <w:ind w:firstLine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5）</w:t>
      </w:r>
      <w:r>
        <w:rPr>
          <w:rFonts w:ascii="宋体" w:hAnsi="宋体"/>
          <w:b/>
          <w:color w:val="000000"/>
          <w:sz w:val="24"/>
          <w:szCs w:val="24"/>
        </w:rPr>
        <w:t>财务预算岗</w:t>
      </w:r>
      <w:r>
        <w:rPr>
          <w:rFonts w:ascii="宋体" w:hAnsi="宋体"/>
          <w:color w:val="000000"/>
          <w:sz w:val="24"/>
          <w:szCs w:val="24"/>
        </w:rPr>
        <w:t>：会计学、财务管理、税务管理等</w:t>
      </w:r>
    </w:p>
    <w:p>
      <w:pPr>
        <w:pStyle w:val="36"/>
        <w:spacing w:line="360" w:lineRule="auto"/>
        <w:ind w:firstLine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6）</w:t>
      </w:r>
      <w:r>
        <w:rPr>
          <w:rFonts w:ascii="宋体" w:hAnsi="宋体"/>
          <w:b/>
          <w:color w:val="000000"/>
          <w:sz w:val="24"/>
          <w:szCs w:val="24"/>
        </w:rPr>
        <w:t>综合管理岗</w:t>
      </w:r>
      <w:r>
        <w:rPr>
          <w:rFonts w:ascii="宋体" w:hAnsi="宋体"/>
          <w:color w:val="000000"/>
          <w:sz w:val="24"/>
          <w:szCs w:val="24"/>
        </w:rPr>
        <w:t>：人力资源管理、企业管理、心理学、经济学</w:t>
      </w:r>
      <w:r>
        <w:rPr>
          <w:rFonts w:hint="eastAsia" w:ascii="宋体" w:hAnsi="宋体"/>
          <w:color w:val="000000"/>
          <w:sz w:val="24"/>
          <w:szCs w:val="24"/>
        </w:rPr>
        <w:t>、信息、计算机</w:t>
      </w:r>
      <w:r>
        <w:rPr>
          <w:rFonts w:ascii="宋体" w:hAnsi="宋体"/>
          <w:color w:val="000000"/>
          <w:sz w:val="24"/>
          <w:szCs w:val="24"/>
        </w:rPr>
        <w:t>等</w:t>
      </w:r>
    </w:p>
    <w:p>
      <w:pPr>
        <w:pStyle w:val="36"/>
        <w:spacing w:line="360" w:lineRule="auto"/>
        <w:ind w:firstLine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7）</w:t>
      </w:r>
      <w:r>
        <w:rPr>
          <w:rFonts w:ascii="宋体" w:hAnsi="宋体"/>
          <w:b/>
          <w:color w:val="000000"/>
          <w:sz w:val="24"/>
          <w:szCs w:val="24"/>
        </w:rPr>
        <w:t>审计法务岗</w:t>
      </w:r>
      <w:r>
        <w:rPr>
          <w:rFonts w:ascii="宋体" w:hAnsi="宋体"/>
          <w:color w:val="000000"/>
          <w:sz w:val="24"/>
          <w:szCs w:val="24"/>
        </w:rPr>
        <w:t>：法学、财务管理、会计学等</w:t>
      </w:r>
    </w:p>
    <w:p>
      <w:pPr>
        <w:pStyle w:val="36"/>
        <w:spacing w:line="360" w:lineRule="auto"/>
        <w:ind w:firstLine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8）</w:t>
      </w:r>
      <w:r>
        <w:rPr>
          <w:rFonts w:ascii="宋体" w:hAnsi="宋体"/>
          <w:b/>
          <w:color w:val="000000"/>
          <w:sz w:val="24"/>
          <w:szCs w:val="24"/>
        </w:rPr>
        <w:t>商业运营岗</w:t>
      </w:r>
      <w:r>
        <w:rPr>
          <w:rFonts w:ascii="宋体" w:hAnsi="宋体"/>
          <w:color w:val="000000"/>
          <w:sz w:val="24"/>
          <w:szCs w:val="24"/>
        </w:rPr>
        <w:t>：商业招商、运营类岗位，专业不限</w:t>
      </w:r>
    </w:p>
    <w:p>
      <w:pPr>
        <w:pStyle w:val="36"/>
        <w:spacing w:line="360" w:lineRule="auto"/>
        <w:ind w:left="0" w:leftChars="0" w:firstLine="0" w:firstLineChars="0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36"/>
        <w:spacing w:line="360" w:lineRule="auto"/>
        <w:ind w:left="0" w:leftChars="0"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ascii="宋体" w:hAnsi="宋体"/>
          <w:b/>
          <w:sz w:val="28"/>
          <w:szCs w:val="28"/>
        </w:rPr>
        <w:t>、培养目标：</w:t>
      </w:r>
    </w:p>
    <w:p>
      <w:pPr>
        <w:pStyle w:val="36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良好的潜质</w:t>
      </w:r>
    </w:p>
    <w:p>
      <w:pPr>
        <w:pStyle w:val="36"/>
        <w:spacing w:line="360" w:lineRule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计划、组织、管理</w:t>
      </w:r>
    </w:p>
    <w:p>
      <w:pPr>
        <w:pStyle w:val="36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扎实的基础</w:t>
      </w:r>
    </w:p>
    <w:p>
      <w:pPr>
        <w:pStyle w:val="36"/>
        <w:spacing w:line="360" w:lineRule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懂一线、懂客户、懂产品</w:t>
      </w:r>
    </w:p>
    <w:p>
      <w:pPr>
        <w:pStyle w:val="36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过硬的素质</w:t>
      </w:r>
    </w:p>
    <w:p>
      <w:pPr>
        <w:pStyle w:val="36"/>
        <w:spacing w:line="360" w:lineRule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阳光、抗压、韧性</w:t>
      </w:r>
    </w:p>
    <w:p>
      <w:pPr>
        <w:pStyle w:val="36"/>
        <w:numPr>
          <w:numId w:val="0"/>
        </w:numPr>
        <w:spacing w:line="360" w:lineRule="auto"/>
        <w:jc w:val="left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36"/>
        <w:numPr>
          <w:numId w:val="0"/>
        </w:num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ascii="宋体" w:hAnsi="宋体"/>
          <w:b/>
          <w:sz w:val="28"/>
          <w:szCs w:val="28"/>
        </w:rPr>
        <w:t>培养思路：</w:t>
      </w:r>
    </w:p>
    <w:p>
      <w:pPr>
        <w:pStyle w:val="36"/>
        <w:numPr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Step1:下一线，上上甘岭</w:t>
      </w:r>
    </w:p>
    <w:p>
      <w:pPr>
        <w:pStyle w:val="36"/>
        <w:numPr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在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营销、物业等职能进行轮岗历练，充分了解业务、经营与客户，从战斗中学习战斗</w:t>
      </w:r>
    </w:p>
    <w:p>
      <w:pPr>
        <w:pStyle w:val="36"/>
        <w:numPr>
          <w:ilvl w:val="0"/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Step2:快速孵化</w:t>
      </w:r>
    </w:p>
    <w:p>
      <w:pPr>
        <w:pStyle w:val="36"/>
        <w:numPr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2-3年经理、5年总监，配以人才盘点、强制晋升、定期会议等机制让优秀者迅速成长和脱颖而出</w:t>
      </w:r>
    </w:p>
    <w:p>
      <w:pPr>
        <w:pStyle w:val="36"/>
        <w:numPr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Step3:压迫式成长</w:t>
      </w:r>
    </w:p>
    <w:p>
      <w:pPr>
        <w:pStyle w:val="36"/>
        <w:numPr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设置节点考核，不进则退，末位淘汰，确保培养出来的都是能扛住压力、打赢硬仗的精兵</w:t>
      </w:r>
    </w:p>
    <w:p>
      <w:pPr>
        <w:pStyle w:val="36"/>
        <w:numPr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Step4：能力精准培养</w:t>
      </w:r>
    </w:p>
    <w:p>
      <w:pPr>
        <w:pStyle w:val="36"/>
        <w:numPr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根据“经理”“总监”的能力需要，采用课堂学习、在岗锻炼、兼职轮岗等多种形式相结合的培养方式</w:t>
      </w:r>
    </w:p>
    <w:p>
      <w:pPr>
        <w:pStyle w:val="36"/>
        <w:numPr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pStyle w:val="36"/>
        <w:numPr>
          <w:numId w:val="0"/>
        </w:numPr>
        <w:spacing w:line="360" w:lineRule="auto"/>
        <w:ind w:left="880" w:leftChars="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校招时间表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场大型宣讲，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场小众精英会，期待你的参与！</w:t>
      </w:r>
    </w:p>
    <w:tbl>
      <w:tblPr>
        <w:tblStyle w:val="27"/>
        <w:tblpPr w:leftFromText="180" w:rightFromText="180" w:vertAnchor="text" w:horzAnchor="page" w:tblpX="1377" w:tblpY="597"/>
        <w:tblOverlap w:val="never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080"/>
        <w:gridCol w:w="2010"/>
        <w:gridCol w:w="2481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宣讲日期及时间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简历投递截止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西南区域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10月12日下午19:00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10月12日下午23:00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10月20日下午19:00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10月20日下午23:00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10月19日下午14:30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10月19日下午23:00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10月27日下午19:00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10月27日下午23:00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10月31日上午10:00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10月31日下午13:00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4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时间地点另行通知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精英会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北京区域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10月18日下午15:30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10月18日下午23:00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10月23日下午14:00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10月23日下午23:00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4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10月16日 地点另行通知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精英会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华中区域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10月24日下午19:00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10月24日下午23:00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华东区域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10月25日下午18:30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10月25日下午23:00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4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 地点另行通知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精英会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华南区域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10月18日下午19:00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10月18日下午23:00</w:t>
            </w:r>
          </w:p>
        </w:tc>
      </w:tr>
    </w:tbl>
    <w:p>
      <w:pPr>
        <w:ind w:hanging="566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</w:t>
      </w:r>
    </w:p>
    <w:p>
      <w:p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六、薪酬福利</w:t>
      </w:r>
    </w:p>
    <w:p>
      <w:pPr>
        <w:widowControl/>
        <w:shd w:val="clear" w:color="auto" w:fill="FFFFFF"/>
        <w:spacing w:before="75" w:after="75" w:line="270" w:lineRule="atLeast"/>
        <w:textAlignment w:val="baseline"/>
        <w:rPr>
          <w:rFonts w:ascii="宋体" w:hAnsi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 w:bidi="ar-SA"/>
        </w:rPr>
        <w:t>本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  <w:t>科学历月薪7000元，研究生学历月薪10000元，博士学历月薪13000元，</w:t>
      </w:r>
      <w:r>
        <w:rPr>
          <w:rFonts w:ascii="宋体" w:hAnsi="宋体"/>
          <w:color w:val="000000" w:themeColor="text1"/>
          <w:sz w:val="24"/>
          <w:szCs w:val="24"/>
          <w:lang w:val="en-US" w:eastAsia="zh-CN"/>
        </w:rPr>
        <w:t>五</w:t>
      </w:r>
    </w:p>
    <w:p>
      <w:pPr>
        <w:widowControl/>
        <w:shd w:val="clear" w:color="auto" w:fill="FFFFFF"/>
        <w:spacing w:before="75" w:after="75" w:line="270" w:lineRule="atLeast"/>
        <w:textAlignment w:val="baseline"/>
        <w:rPr>
          <w:rFonts w:ascii="宋体" w:hAnsi="宋体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/>
          <w:color w:val="000000" w:themeColor="text1"/>
          <w:sz w:val="24"/>
          <w:szCs w:val="24"/>
          <w:lang w:val="en-US" w:eastAsia="zh-CN"/>
        </w:rPr>
        <w:t>险一金，车补餐补，节日礼金，入职安家费，导师1对1帮扶，精品培训课程……</w:t>
      </w:r>
    </w:p>
    <w:p>
      <w:pPr>
        <w:widowControl/>
        <w:shd w:val="clear" w:color="auto" w:fill="FFFFFF"/>
        <w:spacing w:before="75" w:after="75" w:line="270" w:lineRule="atLeast"/>
        <w:textAlignment w:val="baseline"/>
        <w:rPr>
          <w:rFonts w:hint="eastAsia" w:ascii="宋体" w:hAnsi="宋体" w:cs="Times New Roman"/>
          <w:b/>
          <w:bCs/>
          <w:color w:val="000000"/>
          <w:sz w:val="24"/>
          <w:szCs w:val="24"/>
          <w:lang w:val="en-US" w:eastAsia="zh-CN" w:bidi="ar-SA"/>
        </w:rPr>
      </w:pPr>
    </w:p>
    <w:p>
      <w:pPr>
        <w:widowControl/>
        <w:shd w:val="clear" w:color="auto" w:fill="FFFFFF"/>
        <w:spacing w:before="75" w:after="75" w:line="270" w:lineRule="atLeas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七、校</w:t>
      </w:r>
      <w:r>
        <w:rPr>
          <w:rFonts w:hint="eastAsia"/>
          <w:b/>
          <w:bCs/>
          <w:sz w:val="28"/>
          <w:szCs w:val="28"/>
          <w:lang w:val="en-US" w:eastAsia="zh-CN"/>
        </w:rPr>
        <w:t>招流程</w:t>
      </w:r>
    </w:p>
    <w:p>
      <w:pPr>
        <w:widowControl/>
        <w:shd w:val="clear" w:color="auto" w:fill="FFFFFF"/>
        <w:spacing w:before="75" w:after="75" w:line="270" w:lineRule="atLeast"/>
        <w:textAlignment w:val="baseline"/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投递简历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US" w:eastAsia="zh-CN" w:bidi="ar-SA"/>
        </w:rPr>
        <w:t>→</w:t>
      </w:r>
      <w:r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简历筛选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US" w:eastAsia="zh-CN" w:bidi="ar-SA"/>
        </w:rPr>
        <w:t>→</w:t>
      </w:r>
      <w:r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初试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US" w:eastAsia="zh-CN" w:bidi="ar-SA"/>
        </w:rPr>
        <w:t>→</w:t>
      </w:r>
      <w:r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复试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US" w:eastAsia="zh-CN" w:bidi="ar-SA"/>
        </w:rPr>
        <w:t>→</w:t>
      </w:r>
      <w:r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高管见面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US" w:eastAsia="zh-CN" w:bidi="ar-SA"/>
        </w:rPr>
        <w:t>→</w:t>
      </w:r>
      <w:r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确定意向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US" w:eastAsia="zh-CN" w:bidi="ar-SA"/>
        </w:rPr>
        <w:t>→</w:t>
      </w:r>
      <w:r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Offer发放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en-US" w:eastAsia="zh-CN" w:bidi="ar-SA"/>
        </w:rPr>
        <w:t>→</w:t>
      </w:r>
      <w:r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签订</w:t>
      </w:r>
    </w:p>
    <w:p>
      <w:pPr>
        <w:widowControl/>
        <w:shd w:val="clear" w:color="auto" w:fill="FFFFFF"/>
        <w:spacing w:before="75" w:after="75" w:line="270" w:lineRule="atLeast"/>
        <w:textAlignment w:val="baseline"/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三方协议</w:t>
      </w:r>
    </w:p>
    <w:p>
      <w:pPr>
        <w:widowControl/>
        <w:shd w:val="clear" w:color="auto" w:fill="FFFFFF"/>
        <w:spacing w:before="75" w:after="75" w:line="270" w:lineRule="atLeast"/>
        <w:textAlignment w:val="baseline"/>
        <w:rPr>
          <w:rFonts w:hint="eastAsia" w:ascii="宋体" w:hAnsi="宋体" w:cs="Times New Roman"/>
          <w:color w:val="000000"/>
          <w:sz w:val="24"/>
          <w:szCs w:val="24"/>
          <w:lang w:val="en-US" w:eastAsia="zh-CN" w:bidi="ar-SA"/>
        </w:rPr>
      </w:pPr>
    </w:p>
    <w:p>
      <w:pPr>
        <w:widowControl/>
        <w:shd w:val="clear" w:color="auto" w:fill="FFFFFF"/>
        <w:spacing w:before="75" w:after="75" w:line="270" w:lineRule="atLeast"/>
        <w:textAlignment w:val="baseline"/>
        <w:rPr>
          <w:rFonts w:hint="eastAsia" w:ascii="宋体" w:hAnsi="宋体" w:cs="Times New Roman"/>
          <w:color w:val="000000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</w:rPr>
      </w:pPr>
      <w:r>
        <w:rPr>
          <w:rFonts w:hint="eastAsia" w:ascii="微软雅黑" w:hAnsi="微软雅黑" w:eastAsia="微软雅黑"/>
          <w:b/>
          <w:color w:val="000000"/>
        </w:rPr>
        <w:t>详情请登录</w:t>
      </w:r>
      <w:r>
        <w:rPr>
          <w:rFonts w:hint="eastAsia" w:ascii="微软雅黑" w:hAnsi="微软雅黑" w:eastAsia="微软雅黑"/>
          <w:b/>
          <w:color w:val="000000"/>
          <w:u w:val="single"/>
        </w:rPr>
        <w:t>guangmang.shixiseng.com</w:t>
      </w:r>
      <w:r>
        <w:rPr>
          <w:rFonts w:hint="eastAsia" w:ascii="微软雅黑" w:hAnsi="微软雅黑" w:eastAsia="微软雅黑"/>
          <w:b/>
          <w:color w:val="000000"/>
        </w:rPr>
        <w:t>获知更多“光芒生”计划校园招聘相关信息！</w:t>
      </w:r>
    </w:p>
    <w:p>
      <w:pPr>
        <w:jc w:val="left"/>
        <w:rPr>
          <w:rFonts w:hint="eastAsia" w:ascii="微软雅黑" w:hAnsi="微软雅黑" w:eastAsia="微软雅黑"/>
          <w:b/>
          <w:color w:val="000000"/>
          <w:lang w:eastAsia="zh-CN"/>
        </w:rPr>
      </w:pPr>
      <w:r>
        <w:rPr>
          <w:rFonts w:hint="eastAsia" w:ascii="微软雅黑" w:hAnsi="微软雅黑" w:eastAsia="微软雅黑"/>
          <w:b/>
          <w:color w:val="000000"/>
          <w:lang w:eastAsia="zh-CN"/>
        </w:rPr>
        <w:t>宣讲会现场接受现场投递简历！</w:t>
      </w:r>
    </w:p>
    <w:p>
      <w:pPr>
        <w:jc w:val="left"/>
        <w:rPr>
          <w:rFonts w:ascii="微软雅黑" w:hAnsi="微软雅黑" w:eastAsia="微软雅黑"/>
          <w:b/>
          <w:color w:val="000000"/>
          <w:u w:val="single"/>
        </w:rPr>
      </w:pPr>
    </w:p>
    <w:p>
      <w:pPr>
        <w:jc w:val="righ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蓝光发展</w:t>
      </w:r>
      <w:r>
        <w:rPr>
          <w:rFonts w:ascii="微软雅黑" w:hAnsi="微软雅黑" w:eastAsia="微软雅黑"/>
          <w:b/>
        </w:rPr>
        <w:t>集团</w:t>
      </w:r>
    </w:p>
    <w:p>
      <w:pPr>
        <w:jc w:val="righ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网址：</w:t>
      </w:r>
      <w:r>
        <w:fldChar w:fldCharType="begin"/>
      </w:r>
      <w:r>
        <w:instrText xml:space="preserve"> HYPERLINK "http://www.brc.com.cn" </w:instrText>
      </w:r>
      <w:r>
        <w:fldChar w:fldCharType="separate"/>
      </w:r>
      <w:r>
        <w:rPr>
          <w:rStyle w:val="26"/>
          <w:rFonts w:hint="eastAsia" w:ascii="微软雅黑" w:hAnsi="微软雅黑" w:eastAsia="微软雅黑"/>
          <w:b/>
        </w:rPr>
        <w:t>www.brc.com.cn</w:t>
      </w:r>
      <w:r>
        <w:rPr>
          <w:rStyle w:val="26"/>
          <w:rFonts w:hint="eastAsia" w:ascii="微软雅黑" w:hAnsi="微软雅黑" w:eastAsia="微软雅黑"/>
          <w:b/>
        </w:rPr>
        <w:fldChar w:fldCharType="end"/>
      </w:r>
    </w:p>
    <w:p>
      <w:pPr>
        <w:jc w:val="right"/>
        <w:rPr>
          <w:rFonts w:ascii="微软雅黑" w:hAnsi="微软雅黑" w:eastAsia="微软雅黑"/>
          <w:b/>
          <w:color w:val="000000" w:themeColor="text1"/>
        </w:rPr>
      </w:pPr>
      <w:r>
        <w:rPr>
          <w:rFonts w:hint="eastAsia" w:ascii="微软雅黑" w:hAnsi="微软雅黑" w:eastAsia="微软雅黑"/>
          <w:b/>
          <w:color w:val="FF0000"/>
        </w:rPr>
        <w:t>网申地址：</w:t>
      </w:r>
      <w:r>
        <w:rPr>
          <w:rFonts w:hint="eastAsia" w:ascii="微软雅黑" w:hAnsi="微软雅黑" w:eastAsia="微软雅黑"/>
          <w:b/>
          <w:color w:val="FF0000"/>
          <w:u w:val="single"/>
        </w:rPr>
        <w:t>guangmang.shixis</w:t>
      </w:r>
      <w:r>
        <w:rPr>
          <w:rFonts w:ascii="微软雅黑" w:hAnsi="微软雅黑" w:eastAsia="微软雅黑"/>
          <w:b/>
          <w:color w:val="FF0000"/>
          <w:u w:val="single"/>
        </w:rPr>
        <w:t>eng</w:t>
      </w:r>
      <w:r>
        <w:rPr>
          <w:rFonts w:hint="eastAsia" w:ascii="微软雅黑" w:hAnsi="微软雅黑" w:eastAsia="微软雅黑"/>
          <w:b/>
          <w:color w:val="FF0000"/>
          <w:u w:val="single"/>
        </w:rPr>
        <w:t>.com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Microsoft Sans Serif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AC5A"/>
    <w:multiLevelType w:val="singleLevel"/>
    <w:tmpl w:val="59C8AC5A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C8B998"/>
    <w:multiLevelType w:val="singleLevel"/>
    <w:tmpl w:val="59C8B99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14DC"/>
    <w:rsid w:val="000D1A11"/>
    <w:rsid w:val="002433F5"/>
    <w:rsid w:val="003D6412"/>
    <w:rsid w:val="004914DC"/>
    <w:rsid w:val="004B77FD"/>
    <w:rsid w:val="005D0BCE"/>
    <w:rsid w:val="00844E55"/>
    <w:rsid w:val="008E5A47"/>
    <w:rsid w:val="00B77346"/>
    <w:rsid w:val="00CD2C80"/>
    <w:rsid w:val="241F17B4"/>
    <w:rsid w:val="5C3B604B"/>
    <w:rsid w:val="763B3817"/>
    <w:rsid w:val="767E62F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等线" w:hAnsi="等线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等线" w:hAnsi="等线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等线" w:hAnsi="等线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character" w:default="1" w:styleId="23">
    <w:name w:val="Default Paragraph Font"/>
    <w:unhideWhenUsed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6">
    <w:name w:val="toc 1"/>
    <w:next w:val="1"/>
    <w:unhideWhenUsed/>
    <w:qFormat/>
    <w:uiPriority w:val="28"/>
    <w:pPr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7">
    <w:name w:val="toc 4"/>
    <w:next w:val="1"/>
    <w:unhideWhenUsed/>
    <w:qFormat/>
    <w:uiPriority w:val="31"/>
    <w:pPr>
      <w:ind w:left="127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8">
    <w:name w:val="Subtitle"/>
    <w:qFormat/>
    <w:uiPriority w:val="16"/>
    <w:pPr>
      <w:jc w:val="center"/>
    </w:pPr>
    <w:rPr>
      <w:rFonts w:ascii="等线" w:hAnsi="等线" w:eastAsia="宋体" w:cs="Times New Roman"/>
      <w:sz w:val="24"/>
      <w:szCs w:val="24"/>
      <w:lang w:val="en-US" w:eastAsia="zh-CN" w:bidi="ar-SA"/>
    </w:rPr>
  </w:style>
  <w:style w:type="paragraph" w:styleId="19">
    <w:name w:val="toc 6"/>
    <w:next w:val="1"/>
    <w:unhideWhenUsed/>
    <w:qFormat/>
    <w:uiPriority w:val="33"/>
    <w:pPr>
      <w:ind w:left="212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0">
    <w:name w:val="toc 2"/>
    <w:next w:val="1"/>
    <w:unhideWhenUsed/>
    <w:qFormat/>
    <w:uiPriority w:val="29"/>
    <w:pPr>
      <w:ind w:left="42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1">
    <w:name w:val="toc 9"/>
    <w:next w:val="1"/>
    <w:unhideWhenUsed/>
    <w:qFormat/>
    <w:uiPriority w:val="36"/>
    <w:pPr>
      <w:ind w:left="340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2">
    <w:name w:val="Title"/>
    <w:qFormat/>
    <w:uiPriority w:val="6"/>
    <w:pPr>
      <w:jc w:val="center"/>
    </w:pPr>
    <w:rPr>
      <w:rFonts w:ascii="等线" w:hAnsi="等线" w:eastAsia="宋体" w:cs="Times New Roman"/>
      <w:b/>
      <w:sz w:val="32"/>
      <w:szCs w:val="32"/>
      <w:lang w:val="en-US" w:eastAsia="zh-CN" w:bidi="ar-SA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6">
    <w:name w:val="Hyperlink"/>
    <w:basedOn w:val="23"/>
    <w:qFormat/>
    <w:uiPriority w:val="0"/>
    <w:rPr>
      <w:color w:val="0000FF"/>
      <w:u w:val="single"/>
    </w:rPr>
  </w:style>
  <w:style w:type="paragraph" w:customStyle="1" w:styleId="28">
    <w:name w:val="No Spacing"/>
    <w:qFormat/>
    <w:uiPriority w:val="5"/>
    <w:pPr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1">
    <w:name w:val="Quote"/>
    <w:qFormat/>
    <w:uiPriority w:val="21"/>
    <w:pPr>
      <w:ind w:left="864" w:right="864"/>
      <w:jc w:val="center"/>
    </w:pPr>
    <w:rPr>
      <w:rFonts w:ascii="等线" w:hAnsi="等线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2">
    <w:name w:val="Intense Quote"/>
    <w:qFormat/>
    <w:uiPriority w:val="22"/>
    <w:pPr>
      <w:ind w:left="950" w:right="950"/>
      <w:jc w:val="center"/>
    </w:pPr>
    <w:rPr>
      <w:rFonts w:ascii="等线" w:hAnsi="等线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6">
    <w:name w:val="List Paragraph"/>
    <w:basedOn w:val="1"/>
    <w:qFormat/>
    <w:uiPriority w:val="26"/>
    <w:pPr>
      <w:ind w:firstLine="420"/>
    </w:pPr>
  </w:style>
  <w:style w:type="paragraph" w:customStyle="1" w:styleId="37">
    <w:name w:val="TOC Heading"/>
    <w:unhideWhenUsed/>
    <w:qFormat/>
    <w:uiPriority w:val="27"/>
    <w:rPr>
      <w:rFonts w:ascii="等线" w:hAnsi="等线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批注框文本 Char"/>
    <w:basedOn w:val="23"/>
    <w:link w:val="1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2017-09-21T09:23:00Z</dcterms:created>
  <dc:creator>54947</dc:creator>
  <cp:lastModifiedBy>Administrator</cp:lastModifiedBy>
  <dcterms:modified xsi:type="dcterms:W3CDTF">2017-09-25T08:06:56Z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